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22</w:t>
      </w:r>
    </w:p>
    <w:p>
      <w:r>
        <w:t>Bundesgericht (BGE), 1995-01-27, DE</w:t>
      </w:r>
    </w:p>
    <w:p>
      <w:r>
        <w:rPr>
          <w:b/>
        </w:rPr>
        <w:t xml:space="preserve">Quelle: </w:t>
      </w:r>
      <w:r>
        <w:t>https://mcp.opencaselaw.ch/entscheid/bge_121 I 22</w:t>
      </w:r>
    </w:p>
    <w:p>
      <w:r>
        <w:t>FR: ATF 121 I 22</w:t>
      </w:r>
    </w:p>
    <w:p>
      <w:r>
        <w:t>IT: DTF 121 I 22</w:t>
      </w:r>
    </w:p>
    <w:p>
      <w:pPr>
        <w:pStyle w:val="Heading2"/>
      </w:pPr>
      <w:r>
        <w:t>Regeste</w:t>
      </w:r>
    </w:p>
    <w:p>
      <w:r>
        <w:t>Regeste Gewaltentrennungsprinzip; Unzulässigkeit einer regierungsrätlichen Zulassungsbeschränkung zum Medizinstudium an der Universität Zürich (Zürcher Numerus clausus). Zusammenfassung der bundesgerichtlichen Rechtsprechung betreffend Zulassungsbeschränkungen zu öffentlichen Bildungseinrichtungen (E. 2). Auch eine zeitlich begrenzte Zulassungsbeschränkung zum Medizinstudium an der Universität Zürich bedarf einer Grundlage im formellen Gesetz; sie kann von der Exekutive grundsätzlich weder gestützt auf Vollzugskompetenzen (E. 4a) noch gestützt auf Polizeinotrecht (E. 4b) angeordnet werden.</w:t>
      </w:r>
    </w:p>
    <w:p>
      <w:pPr>
        <w:pStyle w:val="Heading2"/>
      </w:pPr>
      <w:r>
        <w:t>Erwägungen</w:t>
      </w:r>
    </w:p>
    <w:p>
      <w:r>
        <w:rPr>
          <w:b/>
        </w:rPr>
        <w:t>E. 2</w:t>
      </w:r>
    </w:p>
    <w:p>
      <w:r>
        <w:t>Das Bundesgericht hat sich in seiner Praxis wiederholt mit der Problematik von Zulassungsbeschränkungen zu staatlichen Bildungseinrichtungen befasst. Die Frage, ob und wann solche Massnahmen den Anwendungsbereich des ungeschriebenen verfassungsmässigen Rechts der persönlichen Freiheit beziehungsweise dessen Kernbereich berühren, liess es dabei jeweils mit Blick auf eine Beurteilung im einzelnen Anwendungsfall offen (vgl. BGE 104 Ia 305 E. 2 S. 308, BGE 103 Ia 369 E. 7d/bb S. 389, 394 E. 2d S. 401; BGE 102 Ia 321 E. 3a S. 324). In einem jüngeren Entscheid schloss es in etwas anderem Zusammenhang nicht zum vornherein aus, dass ein staatlicher Eingriff auf dem Gebiet des Bildungswesens in den Schutzbereich der persönlichen Freiheit fallen könne ( BGE 117 Ia 27 E. 5b S. 30). Im Grundsatzentscheid "Wäffler" betreffend den Numerus clausus an der Universität Basel hielt es fest, dass in der Schweiz (über Art. 27 BV hinaus) kein verfassungsmässiges Recht auf Bildung bestehe und auch die Handels- und Gewerbefreiheit keine Teilhaberrechte verschaffe, die einen Zugang zu staatlichen Bildungseinrichtungen garantierten ( BGE 103 Ia 369 E. 4a 377 f.). Der Gesetzesvorbehalt und die strengen Anforderungen an eine Delegationsnorm seien indessen auch dort zu beachten, wo - wie im Bildungsbereich - erst eine staatliche Leistung die tatsächlichen Voraussetzungen für die Ausübung und Entfaltung verfassungsmässiger Rechte schaffe; dies gelte besonders dann, wenn dem Staat faktisch Monopolstellung zukomme ( BGE 103 Ia 369 E. 6e S. 383; vgl. auch BGE 117 Ib 387 E. 6d S. 395). In BGE 114 Ia 216 E. 5 S. 220 bestätigte das Bundesgericht, dass die persönliche Freiheit in der Regel keinen Anspruch auf staatliche Leistungen verschafft. Ein Recht auf Bildung, und damit auf freien Zugang zu den Universitäten, könne nicht auf dem Umweg der höchstrichterlichen Rechtsprechung zum Grundrecht der persönlichen Freiheit geschaffen werden. Die persönliche Freiheit bilde kein allgemeines Auffanggrundrecht; das Legalitätsprinzip und der daraus abgeleitete Grundsatz der Gesetzmässigkeit zusammen mit dem Willkürverbot und dem Gebot rechtsgleicher Behandlung böten hier hinreichenden Schutz (im gleichen Sinn auch die BGE 121 I 22 S. 25 unveröffentlichte Praxis: Urteile vom 13. September 1994 i.S. R.F.N., E. 3; vom 28. April 1994 i.S. C.E. u. Mitb., E. 3; vom 7. Oktober 1988 i.S. M.A., E. 2b; vom 26. Mai 1983 i.S. E., E. 3a, und vom 4. Dezember 1981 i.S. G., E. 2b).</w:t>
      </w:r>
    </w:p>
    <w:p>
      <w:r>
        <w:rPr>
          <w:b/>
        </w:rPr>
        <w:t>E. 3</w:t>
      </w:r>
    </w:p>
    <w:p>
      <w:r>
        <w:t>Die Beschwerdeführerinnen machen in erster Linie geltend, der angefochtene Beschluss entbehre der gesetzlichen Grundlage und verstosse deshalb gegen den Grundsatz der Gewaltentrennung. a) Das Legalitätsprinzip ist an sich kein selbständiges verfassungsmässiges Recht (WALTER KÄLIN, Das Verfahren der staatsrechtlichen Beschwerde, Bern 1994, S. 70; ULRICH HÄFELIN/GEORG MÜLLER, Grundriss des Allgemeinen Verwaltungsrechts, Zürich 1993, S. 69, Rz. 295; vgl. auch BGE 117 Ia 27 E. 7a S. 32). Das Bundesgericht prüft seine Einhaltung deshalb nur im Zusammenhang mit speziellen Grundrechten frei, ansonsten lediglich unter dem beschränkten Gesichtswinkel von Art. 4 BV , das heisst nach Massgabe der Rechtsgleichheit und des Willkürverbots ( BGE 117 Ia 27 E. 7a S. 32). Seit jeher hat das Bundesgericht aber das durch sämtliche Kantonsverfassungen gewährleistete Prinzip der Gewaltentrennung als Individualrecht der Bürger anerkannt ( BGE 118 Ia 305 E. 2a S. 309; für den Kanton Zürich: BGE 108 Ia 178 E. 2 S. 180). Sein Inhalt ergibt sich jeweils aus dem kantonalen Recht, wobei das Bundesgericht die Auslegung der einschlägigen Verfassungsbestimmungen frei, jene des Gesetzesrechts dagegen lediglich auf Willkür hin prüft (WALTER KÄLIN, a.a.O., S. 191); grundsätzlich mit freier Kognition beurteilt es die Frage der bundesverfassungsrechtlichen Zulässigkeit der Delegation von Rechtsetzungsbefugnissen (vgl. BGE 118 Ia 245 E. 3b S. 248). b) Der Regierungsrat anerkennt, dass die Einführung eines allgemeinen Numerus clausus nach der Rechtsprechung des Bundesgerichts einer formellen Grundlage im kantonalen Recht bedürfe; er habe dem Kantonsrat am 2. Juni 1993 und 10. August 1994 denn auch in diesem Sinn Antrag gestellt. Beim angefochtenen Beschluss habe er sich nicht auf das Unterrichtsgesetz gestützt, sondern auf Art. 37 der Verfassung vom 18. April 1869 des eidgenössischen Standes Zürich (KV, SR 131.211), wonach er die oberste kantonale Vollzugs- und Verwaltungsbehörde sei. Er könne aus dieser Bestimmung zwar keine allgemeine Rechtsetzungskompetenz ableiten, doch ergebe sich für ihn daraus das Recht und die Pflicht zu handeln, wenn ein Eingreifen zwingend geboten erscheine. Nach dem Voranmeldungstermin für das Medizinstudium vom 1. Juni 1994 sei bekannt geworden, dass die Zahl der Studienbewerber in Medizin noch einmal erheblich zunehmen und die obersten BGE 121 I 22 S. 26 Kapazitätsgrenzen der Universität mit grösster Wahrscheinlichkeit überschreiten werde. Die im Hinblick auf die Einführung des Numerus clausus für die Gesetzesänderung notwendige Volksabstimmung habe frühestens anfangs 1995 erwartet werden können, das heisst zu einem Zeitpunkt, an dem das Wintersemester 1994/95 schon fast vorbei gewesen wäre. In dieser Situation sei er gezwungen gewesen, geeignete Massnahmen zu treffen, ansonsten an der Universität eine unhaltbare Situation entstanden wäre. c) Gesetzgebende Gewalt im Kanton Zürich ist gemäss Art. 28 KV das Volk unter Mitwirkung des Kantonsrats. Weder Erlasse, die vom Kantonsrat in eigener Kompetenz verabschiedet werden, noch Verordnungen der Exekutive oder der Justiz sind Gesetze im formellen Sinn (TOBIAS JAAG, Der Gesetzesbegriff im zürcherischen Recht, in: ANDREAS AUER/WALTER KÄLIN, Das Gesetz im Staatsrecht der Kantone, Chur/Zürich 1991, S. 364). Ein selbständiges verfassungsmässiges Verordnungsrecht steht dem Regierungsrat nur zum Erlass von Vollzugsverordnungen und Polizeinotrecht zu. Aus Art. 28 KV ergibt sich insbesondere, dass der Regierung kein allgemeines, unmittelbar auf die Verfassung gestütztes Recht zum Erlass gesetzesvertretender Verordnungen zukommt; ein solches lässt sich weder aus der allgemeinen Polizeibefugnis noch aus einer ausdrücklichen Bestimmung der Kantonsverfassung oder aus dem Gewohnheitsrecht ableiten (TOBIAS JAAG, a.a.O., S. 369 f.; Urteil des Zürcher Verwaltungsgerichts vom 12. September 1963, in: ZBl 65/1964 S. 232 ff.). Das Zürcher Verwaltungsgericht hat bereits 1963 ausdrücklich festgehalten, dass sich weder aus Art. 37 noch aus Art. 40 KV eine selbständige Rechtsetzungskompetenz des Regierungsrats ergebe, die eine von der Verfassung selbst vorgesehene Durchbrechung des Grundsatzes der Gewaltentrennung darstellen würde (ZBl 65/1964 S. 235). Der angefochtene Beschluss des Regierungsrats hält demnach vor dem Prinzip der Gewaltentrennung nur stand, wenn es sich dabei um eine Vollzugsbestimmung (vgl. E. 4a) oder eine Polizeinotregelung (vgl. E. 4b) handelt.</w:t>
      </w:r>
    </w:p>
    <w:p>
      <w:r>
        <w:rPr>
          <w:b/>
        </w:rPr>
        <w:t>E. 4</w:t>
      </w:r>
    </w:p>
    <w:p>
      <w:r>
        <w:t>a) Die Einführung einer Zulassungsbeschränkung, auch wenn diese fachlich und zeitlich limitiert ist, geht über die Wahrnehmung einer blossen Vollzugskompetenz hinaus: Das Gesetz vom 23. Dezember 1859 über das gesamte Unterrichtswesen (LS 410.1) sieht einen Numerus clausus ebensowenig vor (vgl. §§ 140 ff.) wie die einschlägigen Bestimmungen des Reglements vom 17. Januar 1967 für die Studierenden und Auditoren der Universität Zürich (LS 415.31). Zwar handelt es sich bei der Universität um eine BGE 121 I 22 S. 27 öffentlichrechtliche Anstalt, in deren Rahmen der Benützer in ein besonderes Rechtsverhältnis zum Gemeinwesen tritt, doch gilt das Legalitätsprinzip für wichtige Fragen auch hier. Zur Anstaltsordnung, zu deren Normierung die Anstaltsleitung oder die Exekutive allenfalls auch ohne ausdrückliche formellgesetzliche Grundlage befugt ist, soweit sich dies zur Wahrung des Anstaltszwecks als nötig erweist, gehören etwa die Regelung der Disziplin und die Organisation der Kurse beziehungsweise der Examina. Eine Kompetenz der Exekutivorgane, nicht nur die Modalitäten, sondern auch die Zulassung als solche zu regeln, lässt sich aus dem Anstaltszweck dagegen regelmässig nicht ableiten. Die Einführung eines Numerus clausus stellt einen gewichtigen Einbruch in die bisherige Zulassungspraxis nicht nur an der Universität Zürich, sondern an den schweizerischen Universitäten schlechthin dar (vgl. Art. 1 Abs. 3 lit. a des Bundesgesetzes vom 22. März 1991 über die Hochschulförderung, HFG; SR 414.20) und greift derart in die Rechtsstellung der künftigen Anstaltsbenützer ein, dass der Entscheid, ob und in welcher Ausgestaltung zu dieser Massnahme gegriffen werden soll, nicht dem Regierungsrat überlassen bleiben kann. Es ist Aufgabe des Gesetzgebers, zumindest die Grundzüge einer entsprechenden Regelung festzulegen (vgl. Urteil des Bundesgerichts vom 27. Februar 1987 i.S. P.H., E. 3c, in: ZBl 88/1987 S. 459 ff.). Das Zürcher Unterrichtsgesetz enthält aber weder eine Delegationsnorm an den Regierungsrat, die Zulassung zur Universität mit Blick auf quantitative Vorgaben zu regeln, noch die hierbei zu beachtenden Richtlinien. Diese ergeben sich auch nicht aus dem einschlägigen Bundesrecht: Die Verordnung des Bundesrats vom 19. November 1980 über die Prüfungen für Ärzte (SR 811.112.2) erstreckt und beschränkt sich wie die Allgemeine Medizinalprüfungsverordnung vom gleichen Datum (AMV; SR 811.112.1) auf das Prüfungswesen. Sie erfasst die Zulassung zu den kantonalen Hochschulen nicht; diese richtet sich ausschliesslich nach dem (kompetenzkonform erlassenen) kantonalen Recht und den allenfalls gestützt hierauf im Rahmen von Art. 13 HFG ergehenden Koordinationsmassnahmen der Schweizerischen Hochschulkonferenz (vgl. unveröffentlichtes Urteil des Bundesgerichts vom 7. Oktober 1988 i.S. M.A., E. 1a). b) aa) Dem Regierungsrat steht zwar ein selbständiges Notverordnungs- bzw. -verfügungsrecht zu. Die Kompetenz zum Erlass von Polizeinotrecht setzt jedoch eine schwere und unmittelbar drohende Gefahr für die öffentliche Ordnung voraus, der nicht mit anderen gesetzlichen Mitteln beizukommen ist; BGE 121 I 22 S. 28 erforderlich ist, dass ohne sofortiges Handeln der Behörden fundamentale Rechtsgüter in unmittelbarer, direkter und schwerwiegender Weise gefährdet würden (vgl. BGE 111 Ia 246 E. 3a S. 248). Der Anwendungsbereich der polizeilichen Generalklausel ist auf echte und unvorhersehbare Notfälle beschränkt; ihre Anrufung ist grundsätzlich ausgeschlossen, wenn typische und erkennbare Gefährdungslagen trotz Kenntnis der Problematik nicht normiert wurden (vgl. JÖRG PAUL MÜLLER, in: Kommentar BV, Einleitung zu den Grundrechten, Rz. 122). bb) Die dauernde Überbelegung einer Studienrichtung führt unbestrittenermassen zu Beeinträchtigungen des Unterrichts. Von einer eigentlichen Notsituation, die durch keine anderen legalen Mittel zu beseitigen wäre, kann vorliegend indessen nicht die Rede sein. Der Numerus clausus bildet nur eine Möglichkeit, eine Überbelegung von Ausbildungsgängen im Interesse des Anstaltszwecks zu verhindern. Hat es der (formelle) Gesetzgeber unterlassen, diese Möglichkeit in der einschlägigen Gesetzgebung vorzusehen, muss die Exekutive in erster Linie auf organisatorischem Weg, allenfalls auch mit einer vorübergehenden Erhöhung der sachlichen und personellen Mittel, Abhilfe schaffen. Das Bundesgericht verneint zwar ein unbedingtes subjektives Recht auf Zulassung zu staatlichen Bildungsanstalten, verlangt jedoch, dass über einen allfälligen Numerus clausus im ordentlichen Gesetzgebungsverfahren entschieden wird. Bei dieser Sicht der Dinge darf verfassungsrechtlich nur mit äusserster Zurückhaltung hingenommen werden, dass ein Exekutivakt diesen Fragenbereich der demokratischen Diskussion entzieht; bis zum Vorliegen einer hinreichenden gesetzlichen Grundlage kann deshalb eine momentane Ausweitung des staatlichen Leistungsangebots geboten sein (vgl. JÖRG PAUL MÜLLER, Elemente einer schweizerischen Grundrechtstheorie, Bern 1982, S. 63). Es geht nicht an, im Hinblick auf die Beschränktheit staatlicher Ressourcen unter Umgehung der verfassungsrechtlichen Zuständigkeitsordnung zu Notkompetenzen zu greifen; Legislative und Exekutive haben ihre jeweiligen Verantwortungen wahrzunehmen und - im Rahmen ihrer Zuständigkeiten - nach verfassungsmässigen Lösungen zu suchen. Die Überlastung der medizinischen Studieneinrichtungen ist seit Jahren bekannt und hat immer wieder zu Diskussionen um Zugangsbeschränkungen geführt. Die Erziehungsdirektion weist in ihrer Vernehmlassung selber darauf hin, dass die Zahl von 335 neu in das Grundstudium eintretenden Studenten bereits 1974 "in hohem Masse alarmierend" gewesen sei, was die Schweizerische Hochschulkonferenz schon damals veranlasst habe, sich konkrete Gedanken zur Frage von BGE 121 I 22 S. 29 Zulassungsbeschränkungen zu machen. Zwar beruhigte sich die Entwicklung in der Folge etwas, doch lagen seit 1990 wieder deutliche Anzeichen für eine fortlaufende Zunahme der Studienwilligen in den in bezug auf die Ausbildungskapazitäten besonders heiklen medizinischen Bereichen vor. Verzichtete der Regierungsrat, dem nach Art. 40 Abs. 1 KV das "Vorschlagsrecht für Gesetze und Beschlüsse vor dem Kantonsrate" zusteht, darauf, für die Bewältigung des erkennbaren Problems rechtzeitig die nötigen gesetzlichen Grundlagen zu beantragen, oder wurden ihm diese verweigert, geht es nicht an, wenn er den Fragenbereich heute - wenn auch zeitlich beschränkt bis zum Inkrafttreten einer entsprechenden formellgesetzlichen Grundlage - polizeinotrechtlich zu regeln versucht; dies wäre höchstens in einer Extremsituation denkbar. Für das medizinische Grundstudium an der Universität Zürich waren für das Wintersemester 1994/95 478 Kandidatinnen und Kandidaten vorangemeldet; im Vorjahr hatten 429 Studienwillige dieses Studium aufgenommen. Trotz der vorauszusehenden Ausfälle hätten somit zwar wohl mehr Kandidatinnen und Kandidaten ihr Studium begonnen als im Vorjahr, doch hätte es sich dabei nicht um eine aussergewöhnliche Zuwachsrate gehandelt, welche die Funktionsfähigkeit der Anstalt geradezu in Frage gestellt hätte; der Regierungsrat ging in der Begründung des angefochtenen Beschlusses selber davon aus, dass aufgrund der von der Schweizerischen Hochschulkonferenz berechneten Zahlen die Universität Zürich "1994 nach Abzug der Umleitungen an andere Universitäten rund 425 Studienbewerber aufnehmen" müsste, wobei die oberste Kapazitätsgrenze um rund 25 überschritten würde. Im Anschluss an die bundesgerichtliche Präsidialverfügung vom 20. Oktober 1994 haben sich insgesamt 439 Personen für das erste Studienjahr immatrikuliert; in dieser Zahl sind allfällige nachträgliche Rückzüge (z.B. wegen frühzeitiger Aufgabe des Studiums) nicht berücksichtigt. Ein Vergleich dieser Zahl mit jener des Vorjahres zeigt, dass von einer Verunmöglichung einer sinnvollen Studienorganisation im ersten Studienjahr kaum mehr die Rede sein kann. c) Zusammenfassend ergibt sich somit, dass der Beschluss des Regierungsrats vom 10. August 1994 in den Punkten I., II. und III. wegen Verletzung des Gewaltenteilungsprinzips aufzuheben ist; eine Behandlung der weiteren Rügen erübrigt sich unter diesen Umständen. Punkt IV. des Beschlusses ist nicht angefochten, weshalb das Bundesgericht dazu keine weiteren Ausführungen zu machen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